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7E2ED1">
        <w:t>6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7E2ED1">
        <w:rPr>
          <w:b/>
          <w:sz w:val="24"/>
          <w:szCs w:val="24"/>
        </w:rPr>
        <w:t>MAJDAN GOLCZAŃSKI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7E2ED1">
        <w:rPr>
          <w:sz w:val="24"/>
          <w:szCs w:val="24"/>
        </w:rPr>
        <w:t>Majdan Golczański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7E2ED1">
        <w:rPr>
          <w:sz w:val="24"/>
          <w:szCs w:val="24"/>
        </w:rPr>
        <w:t>Majdan Golczański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7E2ED1">
        <w:rPr>
          <w:sz w:val="24"/>
          <w:szCs w:val="24"/>
        </w:rPr>
        <w:t>1109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0457F3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4D081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457F3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A6FBF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D0815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7E2ED1"/>
    <w:rsid w:val="008110FA"/>
    <w:rsid w:val="008531E8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629D0"/>
    <w:rsid w:val="00C91F9B"/>
    <w:rsid w:val="00C9696D"/>
    <w:rsid w:val="00CA1334"/>
    <w:rsid w:val="00CA4E61"/>
    <w:rsid w:val="00CA5179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02FC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6771-E667-445C-9A5D-F720C444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2023-11-30T13:11:00Z</cp:lastPrinted>
  <dcterms:created xsi:type="dcterms:W3CDTF">2023-11-30T13:23:00Z</dcterms:created>
  <dcterms:modified xsi:type="dcterms:W3CDTF">2023-12-01T12:26:00Z</dcterms:modified>
</cp:coreProperties>
</file>